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F1481A" w:rsidRPr="00743DD1" w:rsidRDefault="00F1481A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</w:p>
    <w:p w:rsidR="00433B64" w:rsidRDefault="00433B64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  <w:r w:rsidRPr="00433B64">
        <w:rPr>
          <w:rFonts w:eastAsia="Times New Roman" w:cs="Times New Roman"/>
          <w:b/>
          <w:color w:val="002060"/>
          <w:sz w:val="28"/>
          <w:szCs w:val="24"/>
        </w:rPr>
        <w:t>Μαθηματικά και Στοιχεία Στατιστικής</w:t>
      </w:r>
      <w:r w:rsidR="009C0893">
        <w:rPr>
          <w:rFonts w:eastAsia="Times New Roman" w:cs="Times New Roman"/>
          <w:b/>
          <w:color w:val="002060"/>
          <w:sz w:val="28"/>
          <w:szCs w:val="24"/>
        </w:rPr>
        <w:t xml:space="preserve"> </w:t>
      </w:r>
    </w:p>
    <w:p w:rsidR="00E05E4D" w:rsidRDefault="00E05E4D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E05E4D" w:rsidRPr="00E05E4D" w:rsidRDefault="00E05E4D" w:rsidP="00E05E4D">
      <w:pPr>
        <w:spacing w:after="0"/>
        <w:jc w:val="both"/>
        <w:rPr>
          <w:rFonts w:eastAsiaTheme="minorHAnsi"/>
          <w:sz w:val="24"/>
          <w:szCs w:val="28"/>
          <w:lang w:eastAsia="en-US"/>
        </w:rPr>
      </w:pPr>
      <w:r w:rsidRPr="00E05E4D">
        <w:rPr>
          <w:rFonts w:eastAsiaTheme="minorHAnsi"/>
          <w:sz w:val="24"/>
          <w:szCs w:val="28"/>
          <w:lang w:eastAsia="en-US"/>
        </w:rPr>
        <w:t xml:space="preserve">Παρ. 1.1. Συναρτήσεις. </w:t>
      </w:r>
    </w:p>
    <w:p w:rsidR="00E05E4D" w:rsidRPr="00E05E4D" w:rsidRDefault="00E05E4D" w:rsidP="00E05E4D">
      <w:pPr>
        <w:spacing w:after="0"/>
        <w:jc w:val="both"/>
        <w:rPr>
          <w:rFonts w:eastAsiaTheme="minorHAnsi"/>
          <w:sz w:val="24"/>
          <w:szCs w:val="28"/>
          <w:lang w:eastAsia="en-US"/>
        </w:rPr>
      </w:pPr>
      <w:r w:rsidRPr="00E05E4D">
        <w:rPr>
          <w:rFonts w:eastAsiaTheme="minorHAnsi"/>
          <w:sz w:val="24"/>
          <w:szCs w:val="28"/>
          <w:lang w:eastAsia="en-US"/>
        </w:rPr>
        <w:t xml:space="preserve">Παρ. 1.2. Η έννοια της παραγώγου. </w:t>
      </w:r>
    </w:p>
    <w:p w:rsidR="00E05E4D" w:rsidRPr="00E05E4D" w:rsidRDefault="00E05E4D" w:rsidP="00E05E4D">
      <w:pPr>
        <w:spacing w:after="0"/>
        <w:jc w:val="both"/>
        <w:rPr>
          <w:rFonts w:eastAsiaTheme="minorHAnsi"/>
          <w:sz w:val="24"/>
          <w:szCs w:val="28"/>
          <w:lang w:eastAsia="en-US"/>
        </w:rPr>
      </w:pPr>
      <w:r w:rsidRPr="00E05E4D">
        <w:rPr>
          <w:rFonts w:eastAsiaTheme="minorHAnsi"/>
          <w:sz w:val="24"/>
          <w:szCs w:val="28"/>
          <w:lang w:eastAsia="en-US"/>
        </w:rPr>
        <w:t xml:space="preserve">Παρ. 1.3. Παράγωγος συνάρτησης. </w:t>
      </w:r>
    </w:p>
    <w:p w:rsidR="00E05E4D" w:rsidRPr="00E05E4D" w:rsidRDefault="00E05E4D" w:rsidP="00E05E4D">
      <w:pPr>
        <w:spacing w:after="0"/>
        <w:jc w:val="both"/>
        <w:rPr>
          <w:rFonts w:eastAsiaTheme="minorHAnsi"/>
          <w:sz w:val="24"/>
          <w:szCs w:val="28"/>
          <w:lang w:eastAsia="en-US"/>
        </w:rPr>
      </w:pPr>
      <w:r w:rsidRPr="00E05E4D">
        <w:rPr>
          <w:rFonts w:eastAsiaTheme="minorHAnsi"/>
          <w:sz w:val="24"/>
          <w:szCs w:val="28"/>
          <w:lang w:eastAsia="en-US"/>
        </w:rPr>
        <w:t xml:space="preserve">Παρ. 1.4 Εφαρμογές των Παραγώγων, χωρίς το κριτήριο της 2ης παραγώγου. </w:t>
      </w:r>
    </w:p>
    <w:p w:rsidR="00E05E4D" w:rsidRPr="00E05E4D" w:rsidRDefault="00E05E4D" w:rsidP="00E05E4D">
      <w:pPr>
        <w:spacing w:after="0"/>
        <w:jc w:val="center"/>
        <w:rPr>
          <w:rFonts w:eastAsiaTheme="minorHAnsi"/>
          <w:sz w:val="24"/>
          <w:szCs w:val="28"/>
          <w:lang w:eastAsia="en-US"/>
        </w:rPr>
      </w:pPr>
    </w:p>
    <w:p w:rsidR="00E05E4D" w:rsidRPr="00E05E4D" w:rsidRDefault="00E05E4D" w:rsidP="00E05E4D">
      <w:pPr>
        <w:spacing w:after="0"/>
        <w:jc w:val="center"/>
        <w:rPr>
          <w:rFonts w:eastAsiaTheme="minorHAnsi"/>
          <w:b/>
          <w:sz w:val="24"/>
          <w:szCs w:val="28"/>
          <w:lang w:eastAsia="en-US"/>
        </w:rPr>
      </w:pPr>
      <w:r w:rsidRPr="00E05E4D">
        <w:rPr>
          <w:rFonts w:eastAsiaTheme="minorHAnsi"/>
          <w:b/>
          <w:sz w:val="24"/>
          <w:szCs w:val="28"/>
          <w:lang w:eastAsia="en-US"/>
        </w:rPr>
        <w:t>Κεφάλαιο 3. Πιθανότητες</w:t>
      </w:r>
    </w:p>
    <w:p w:rsidR="00E05E4D" w:rsidRPr="00E05E4D" w:rsidRDefault="00E05E4D" w:rsidP="00E05E4D">
      <w:pPr>
        <w:spacing w:after="0"/>
        <w:jc w:val="both"/>
        <w:rPr>
          <w:rFonts w:eastAsiaTheme="minorHAnsi"/>
          <w:sz w:val="24"/>
          <w:szCs w:val="28"/>
          <w:lang w:eastAsia="en-US"/>
        </w:rPr>
      </w:pPr>
      <w:r w:rsidRPr="00E05E4D">
        <w:rPr>
          <w:rFonts w:eastAsiaTheme="minorHAnsi"/>
          <w:sz w:val="24"/>
          <w:szCs w:val="28"/>
          <w:lang w:eastAsia="en-US"/>
        </w:rPr>
        <w:t xml:space="preserve">Παρ. 3.1 Δειγματικός Χώρος – Ενδεχόμενα. </w:t>
      </w:r>
    </w:p>
    <w:p w:rsidR="00E05E4D" w:rsidRPr="00E05E4D" w:rsidRDefault="00E05E4D" w:rsidP="00E05E4D">
      <w:pPr>
        <w:spacing w:after="0"/>
        <w:jc w:val="both"/>
        <w:rPr>
          <w:rFonts w:eastAsiaTheme="minorHAnsi"/>
          <w:sz w:val="24"/>
          <w:szCs w:val="28"/>
          <w:lang w:eastAsia="en-US"/>
        </w:rPr>
      </w:pPr>
      <w:r w:rsidRPr="00E05E4D">
        <w:rPr>
          <w:rFonts w:eastAsiaTheme="minorHAnsi"/>
          <w:sz w:val="24"/>
          <w:szCs w:val="28"/>
          <w:lang w:eastAsia="en-US"/>
        </w:rPr>
        <w:t xml:space="preserve">Παρ. 3.2 Έννοια της Πιθανότητας.  </w:t>
      </w:r>
    </w:p>
    <w:p w:rsidR="00E05E4D" w:rsidRPr="009C0893" w:rsidRDefault="00E05E4D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</w:p>
    <w:p w:rsidR="009C0893" w:rsidRPr="009C0893" w:rsidRDefault="009C0893" w:rsidP="00433B64">
      <w:pPr>
        <w:spacing w:after="0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Η εξέταση στα Μαθηματικά και Στοιχεία Στατιστικής ως μάθημα Γενικής Παιδείας και στα Μαθηματικά της Ομάδας Προσανατολισμού Θετικών Σπουδών και της Ομάδας Προσ</w:t>
      </w:r>
      <w:bookmarkStart w:id="0" w:name="_GoBack"/>
      <w:bookmarkEnd w:id="0"/>
      <w:r w:rsidRPr="00665D0F">
        <w:rPr>
          <w:rFonts w:eastAsia="Times New Roman" w:cs="Times New Roman"/>
          <w:sz w:val="24"/>
          <w:szCs w:val="24"/>
        </w:rPr>
        <w:t>ανατολισμού Σπουδών Οικονομίας &amp; Πληροφορικής στη Γ΄ τάξη Ημερησίου Γενικού Λυκείου γίνεται ως εξής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Στους μαθητές δίνονται τέσσερα (4) θέματα από την εξεταστέα ύλη, τα οποία μπορούν να αναλύονται σε </w:t>
      </w:r>
      <w:proofErr w:type="spellStart"/>
      <w:r w:rsidRPr="00665D0F">
        <w:rPr>
          <w:rFonts w:eastAsia="Times New Roman" w:cs="Times New Roman"/>
          <w:sz w:val="24"/>
          <w:szCs w:val="24"/>
        </w:rPr>
        <w:t>υποερωτήματα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, με τα οποία ελέγχεται η δυνατότητα αναπαραγωγής γνωστικών στοιχείων, η γνώση εννοιών και ορολογίας και η </w:t>
      </w:r>
      <w:proofErr w:type="spellStart"/>
      <w:r w:rsidRPr="00665D0F">
        <w:rPr>
          <w:rFonts w:eastAsia="Times New Roman" w:cs="Times New Roman"/>
          <w:sz w:val="24"/>
          <w:szCs w:val="24"/>
        </w:rPr>
        <w:t>ικανό¬τητα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εκτέλεσης γνωστών αλγορίθμων, η ικανότητα του μαθητή να αναλύει, να συνθέτει και να επεξεργάζεται δημιουργικά ένα δεδομένο υλικό, καθώς και η ικανότητα επιλογής και εφαρμογής κατάλληλης μεθόδου.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665D0F">
        <w:rPr>
          <w:rFonts w:eastAsia="Times New Roman" w:cs="Times New Roman"/>
          <w:sz w:val="24"/>
          <w:szCs w:val="24"/>
        </w:rPr>
        <w:t>Tα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τέσσερα θέματα που δίνονται στους μαθητές διαρθρώνονται ως εξής: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α) Το πρώτο θέμα αποτελείται από ερωτήματα θεωρίας που αφορούν έννοιες, ορισμούς, λήμματα, προτάσεις, θεωρήματα και πορίσματα. Με το θέμα αυτό ελέγχεται η κατανόηση των βασικών εννοιών, των σπουδαιότερων συμπερασμάτων, καθώς και η σημασία τους στην οργάνωση μιας λογικής δομής.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β) </w:t>
      </w:r>
      <w:proofErr w:type="spellStart"/>
      <w:r w:rsidRPr="00665D0F">
        <w:rPr>
          <w:rFonts w:eastAsia="Times New Roman" w:cs="Times New Roman"/>
          <w:sz w:val="24"/>
          <w:szCs w:val="24"/>
        </w:rPr>
        <w:t>Tο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δεύτερο και το τρίτο θέμα αποτελείται το καθένα από μία άσκηση που απαιτεί από το μαθητή ικανότητα συνδυασμού και σύνθεσης εννοιών αποδεικτικών ή υπολογιστικών διαδικασιών. Η κάθε άσκηση μπορεί να αναλύεται σε επιμέρους ερωτήματα. 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γ) </w:t>
      </w:r>
      <w:proofErr w:type="spellStart"/>
      <w:r w:rsidRPr="00665D0F">
        <w:rPr>
          <w:rFonts w:eastAsia="Times New Roman" w:cs="Times New Roman"/>
          <w:sz w:val="24"/>
          <w:szCs w:val="24"/>
        </w:rPr>
        <w:t>Tο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τέταρτο θέμα αποτελείται από μία άσκηση ή ένα πρόβλημα που η λύση του απαιτεί από το μαθητή ικανότητες συνδυασμού και σύνθεσης προηγούμενων γνώσεων, αλλά και την ανάληψη πρωτοβουλιών στη διαδικασία επίλυσής του. </w:t>
      </w:r>
      <w:proofErr w:type="spellStart"/>
      <w:r w:rsidRPr="00665D0F">
        <w:rPr>
          <w:rFonts w:eastAsia="Times New Roman" w:cs="Times New Roman"/>
          <w:sz w:val="24"/>
          <w:szCs w:val="24"/>
        </w:rPr>
        <w:t>Tο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θέμα αυτό μπορεί να αναλύεται σε επιμέρους ερωτήματα, τα οποία βοηθούν το μαθητή στη λύση. </w:t>
      </w:r>
    </w:p>
    <w:p w:rsidR="00433B64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lastRenderedPageBreak/>
        <w:t>Η βαθμολογία κατανέμεται ανά είκοσι πέντε (25) μονάδες στο καθένα από τα τέσσερα θέματα</w:t>
      </w:r>
      <w:r w:rsidR="00743DD1">
        <w:rPr>
          <w:rFonts w:eastAsia="Times New Roman" w:cs="Times New Roman"/>
          <w:sz w:val="24"/>
          <w:szCs w:val="24"/>
        </w:rPr>
        <w:t>.</w:t>
      </w:r>
    </w:p>
    <w:sectPr w:rsidR="00433B64" w:rsidSect="003D111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54" w:rsidRDefault="00C84954" w:rsidP="0075731B">
      <w:pPr>
        <w:spacing w:after="0" w:line="240" w:lineRule="auto"/>
      </w:pPr>
      <w:r>
        <w:separator/>
      </w:r>
    </w:p>
  </w:endnote>
  <w:endnote w:type="continuationSeparator" w:id="0">
    <w:p w:rsidR="00C84954" w:rsidRDefault="00C84954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E05E4D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54" w:rsidRDefault="00C84954" w:rsidP="0075731B">
      <w:pPr>
        <w:spacing w:after="0" w:line="240" w:lineRule="auto"/>
      </w:pPr>
      <w:r>
        <w:separator/>
      </w:r>
    </w:p>
  </w:footnote>
  <w:footnote w:type="continuationSeparator" w:id="0">
    <w:p w:rsidR="00C84954" w:rsidRDefault="00C84954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4AA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7C5B"/>
    <w:rsid w:val="00584C16"/>
    <w:rsid w:val="00591A14"/>
    <w:rsid w:val="00592B99"/>
    <w:rsid w:val="005A60C2"/>
    <w:rsid w:val="005D04DD"/>
    <w:rsid w:val="006105D6"/>
    <w:rsid w:val="0063352E"/>
    <w:rsid w:val="00650C3B"/>
    <w:rsid w:val="006529BB"/>
    <w:rsid w:val="00665D0F"/>
    <w:rsid w:val="00686E46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E75"/>
    <w:rsid w:val="00894557"/>
    <w:rsid w:val="00894C8B"/>
    <w:rsid w:val="008A5C26"/>
    <w:rsid w:val="008C7C41"/>
    <w:rsid w:val="008E6300"/>
    <w:rsid w:val="009243ED"/>
    <w:rsid w:val="009758A3"/>
    <w:rsid w:val="009B5D1D"/>
    <w:rsid w:val="009C0893"/>
    <w:rsid w:val="00A05A58"/>
    <w:rsid w:val="00A25242"/>
    <w:rsid w:val="00A5756A"/>
    <w:rsid w:val="00A72A2D"/>
    <w:rsid w:val="00A81161"/>
    <w:rsid w:val="00A81809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84954"/>
    <w:rsid w:val="00CC0823"/>
    <w:rsid w:val="00D156D2"/>
    <w:rsid w:val="00D3287F"/>
    <w:rsid w:val="00D45FEE"/>
    <w:rsid w:val="00D54408"/>
    <w:rsid w:val="00DD5845"/>
    <w:rsid w:val="00DE4818"/>
    <w:rsid w:val="00DE7321"/>
    <w:rsid w:val="00DF0B86"/>
    <w:rsid w:val="00E05E4D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CD2C7-BB8B-46A6-BEF9-0BCF74D6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cp:lastPrinted>2016-04-12T08:43:00Z</cp:lastPrinted>
  <dcterms:created xsi:type="dcterms:W3CDTF">2016-05-11T08:13:00Z</dcterms:created>
  <dcterms:modified xsi:type="dcterms:W3CDTF">2016-05-11T08:13:00Z</dcterms:modified>
</cp:coreProperties>
</file>