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870E75" w:rsidRDefault="00870E75" w:rsidP="00FE0854">
      <w:pPr>
        <w:jc w:val="both"/>
        <w:rPr>
          <w:rFonts w:eastAsia="Times New Roman" w:cs="Times New Roman"/>
          <w:sz w:val="24"/>
          <w:szCs w:val="24"/>
        </w:rPr>
      </w:pPr>
    </w:p>
    <w:p w:rsidR="00870E75" w:rsidRDefault="009229D1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ΧΗΜΕΙΑ</w:t>
      </w:r>
    </w:p>
    <w:p w:rsidR="009502A0" w:rsidRDefault="009502A0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9502A0" w:rsidRPr="009502A0" w:rsidRDefault="009502A0" w:rsidP="009502A0">
      <w:pPr>
        <w:rPr>
          <w:sz w:val="24"/>
        </w:rPr>
      </w:pPr>
      <w:r w:rsidRPr="009502A0">
        <w:rPr>
          <w:sz w:val="24"/>
        </w:rPr>
        <w:t xml:space="preserve">Η εξεταστέα ύλη στο μάθημα Χημεία Γενικής Παιδείας Α΄ Λυκείου, από το βιβλίο: «Χημεία Α΄ Ενιαίου Λυκείου» των </w:t>
      </w:r>
      <w:proofErr w:type="spellStart"/>
      <w:r w:rsidRPr="009502A0">
        <w:rPr>
          <w:sz w:val="24"/>
        </w:rPr>
        <w:t>Λιοδάκη</w:t>
      </w:r>
      <w:proofErr w:type="spellEnd"/>
      <w:r w:rsidRPr="009502A0">
        <w:rPr>
          <w:sz w:val="24"/>
        </w:rPr>
        <w:t xml:space="preserve"> – Γάκη (</w:t>
      </w:r>
      <w:r w:rsidRPr="009502A0">
        <w:rPr>
          <w:b/>
          <w:sz w:val="24"/>
        </w:rPr>
        <w:t>Έκδοση 2014</w:t>
      </w:r>
      <w:r w:rsidRPr="009502A0">
        <w:rPr>
          <w:sz w:val="24"/>
        </w:rPr>
        <w:t>), είναι η εξής:</w:t>
      </w:r>
    </w:p>
    <w:p w:rsidR="009502A0" w:rsidRPr="009502A0" w:rsidRDefault="009502A0" w:rsidP="009502A0">
      <w:pPr>
        <w:spacing w:line="240" w:lineRule="auto"/>
        <w:rPr>
          <w:b/>
          <w:spacing w:val="30"/>
          <w:sz w:val="24"/>
        </w:rPr>
      </w:pPr>
      <w:r w:rsidRPr="009502A0">
        <w:rPr>
          <w:b/>
          <w:i/>
          <w:spacing w:val="30"/>
          <w:sz w:val="24"/>
        </w:rPr>
        <w:t>Εξετάζονται οι παράγραφοι</w:t>
      </w:r>
      <w:r w:rsidRPr="009502A0">
        <w:rPr>
          <w:b/>
          <w:spacing w:val="30"/>
          <w:sz w:val="24"/>
        </w:rPr>
        <w:t>:</w:t>
      </w:r>
    </w:p>
    <w:p w:rsidR="009502A0" w:rsidRPr="009502A0" w:rsidRDefault="009502A0" w:rsidP="009502A0">
      <w:pPr>
        <w:spacing w:line="240" w:lineRule="auto"/>
        <w:rPr>
          <w:b/>
          <w:bCs/>
          <w:sz w:val="24"/>
        </w:rPr>
      </w:pPr>
      <w:r w:rsidRPr="009502A0">
        <w:rPr>
          <w:b/>
          <w:bCs/>
          <w:sz w:val="24"/>
        </w:rPr>
        <w:t xml:space="preserve">ΚΕΦΑΛΑΙΟ 1: </w:t>
      </w:r>
    </w:p>
    <w:p w:rsidR="009502A0" w:rsidRPr="009502A0" w:rsidRDefault="009502A0" w:rsidP="009502A0">
      <w:pPr>
        <w:spacing w:line="240" w:lineRule="auto"/>
        <w:rPr>
          <w:sz w:val="24"/>
        </w:rPr>
      </w:pP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1.3 (σελίδες 14 – 15: </w:t>
      </w:r>
      <w:r w:rsidRPr="009502A0">
        <w:rPr>
          <w:b/>
          <w:sz w:val="24"/>
        </w:rPr>
        <w:t>ατομικός αριθμός – μαζικός αριθμός – ισότοπα</w:t>
      </w:r>
    </w:p>
    <w:p w:rsidR="009502A0" w:rsidRPr="009502A0" w:rsidRDefault="009502A0" w:rsidP="009502A0">
      <w:pPr>
        <w:spacing w:line="240" w:lineRule="auto"/>
        <w:rPr>
          <w:b/>
          <w:sz w:val="24"/>
        </w:rPr>
      </w:pPr>
      <w:r w:rsidRPr="009502A0">
        <w:rPr>
          <w:b/>
          <w:sz w:val="24"/>
        </w:rPr>
        <w:t>Εξετάζονται οι αντίστοιχες ασκήσεις από τις σελίδες 33, 37 και 38.</w:t>
      </w:r>
    </w:p>
    <w:p w:rsidR="009502A0" w:rsidRPr="009502A0" w:rsidRDefault="009502A0" w:rsidP="009502A0">
      <w:pPr>
        <w:spacing w:line="240" w:lineRule="auto"/>
        <w:rPr>
          <w:b/>
          <w:bCs/>
          <w:sz w:val="24"/>
        </w:rPr>
      </w:pPr>
      <w:r w:rsidRPr="009502A0">
        <w:rPr>
          <w:b/>
          <w:bCs/>
          <w:sz w:val="24"/>
        </w:rPr>
        <w:t xml:space="preserve">ΚΕΦΑΛΑΙΟ 2: </w:t>
      </w:r>
    </w:p>
    <w:p w:rsidR="009502A0" w:rsidRPr="009502A0" w:rsidRDefault="009502A0" w:rsidP="009502A0">
      <w:pPr>
        <w:spacing w:line="240" w:lineRule="auto"/>
        <w:rPr>
          <w:b/>
          <w:sz w:val="24"/>
        </w:rPr>
      </w:pPr>
      <w:r w:rsidRPr="009502A0">
        <w:rPr>
          <w:sz w:val="24"/>
        </w:rPr>
        <w:t xml:space="preserve">Εισαγωγή (σελίδα 43), </w:t>
      </w: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2.1 (σελίδες 44 - 46), </w:t>
      </w: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2.2 (σελίδες 47 – 50,</w:t>
      </w:r>
      <w:r w:rsidRPr="009502A0">
        <w:rPr>
          <w:b/>
          <w:sz w:val="24"/>
        </w:rPr>
        <w:t xml:space="preserve"> εκτός από τη χρησιμότητα του Περιοδικού Πίνακα στη σελ. 50</w:t>
      </w:r>
      <w:r w:rsidRPr="009502A0">
        <w:rPr>
          <w:sz w:val="24"/>
        </w:rPr>
        <w:t xml:space="preserve">), </w:t>
      </w: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2.3 (σελίδες 52 – 61, </w:t>
      </w: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2.4 (σελίδες 62 - 66)</w:t>
      </w:r>
    </w:p>
    <w:p w:rsidR="009502A0" w:rsidRPr="009502A0" w:rsidRDefault="009502A0" w:rsidP="009502A0">
      <w:pPr>
        <w:spacing w:line="240" w:lineRule="auto"/>
        <w:rPr>
          <w:b/>
          <w:sz w:val="24"/>
        </w:rPr>
      </w:pPr>
      <w:r w:rsidRPr="009502A0">
        <w:rPr>
          <w:b/>
          <w:sz w:val="24"/>
        </w:rPr>
        <w:t>Εξετάζονται οι αντίστοιχες ασκήσεις από τις σελίδες 70 έως και 79.</w:t>
      </w:r>
    </w:p>
    <w:p w:rsidR="009502A0" w:rsidRPr="009502A0" w:rsidRDefault="009502A0" w:rsidP="009502A0">
      <w:pPr>
        <w:spacing w:line="240" w:lineRule="auto"/>
        <w:rPr>
          <w:b/>
          <w:bCs/>
          <w:sz w:val="24"/>
        </w:rPr>
      </w:pPr>
      <w:r w:rsidRPr="009502A0">
        <w:rPr>
          <w:b/>
          <w:bCs/>
          <w:sz w:val="24"/>
        </w:rPr>
        <w:t xml:space="preserve">ΚΕΦΑΛΑΙΟ 3: </w:t>
      </w:r>
      <w:bookmarkStart w:id="0" w:name="_GoBack"/>
      <w:bookmarkEnd w:id="0"/>
    </w:p>
    <w:p w:rsidR="009502A0" w:rsidRPr="009502A0" w:rsidRDefault="009502A0" w:rsidP="009502A0">
      <w:pPr>
        <w:spacing w:line="240" w:lineRule="auto"/>
        <w:rPr>
          <w:sz w:val="24"/>
        </w:rPr>
      </w:pP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3.5 (σελίδες 100– 105, </w:t>
      </w:r>
      <w:r w:rsidRPr="009502A0">
        <w:rPr>
          <w:b/>
          <w:sz w:val="24"/>
        </w:rPr>
        <w:t>δεν εξετάζεται η εφαρμογή της σελίδας 105</w:t>
      </w:r>
      <w:r w:rsidRPr="009502A0">
        <w:rPr>
          <w:sz w:val="24"/>
        </w:rPr>
        <w:t>)</w:t>
      </w:r>
    </w:p>
    <w:p w:rsidR="009502A0" w:rsidRPr="009502A0" w:rsidRDefault="009502A0" w:rsidP="009502A0">
      <w:pPr>
        <w:spacing w:line="240" w:lineRule="auto"/>
        <w:rPr>
          <w:b/>
          <w:sz w:val="24"/>
        </w:rPr>
      </w:pPr>
      <w:r w:rsidRPr="009502A0">
        <w:rPr>
          <w:b/>
          <w:sz w:val="24"/>
        </w:rPr>
        <w:t>Εξετάζονται οι αντίστοιχες ασκήσεις από τις σελίδες 113 έως και 122.</w:t>
      </w:r>
    </w:p>
    <w:p w:rsidR="009502A0" w:rsidRPr="009502A0" w:rsidRDefault="009502A0" w:rsidP="009502A0">
      <w:pPr>
        <w:spacing w:line="240" w:lineRule="auto"/>
        <w:rPr>
          <w:b/>
          <w:bCs/>
          <w:sz w:val="24"/>
        </w:rPr>
      </w:pPr>
      <w:r w:rsidRPr="009502A0">
        <w:rPr>
          <w:b/>
          <w:bCs/>
          <w:sz w:val="24"/>
        </w:rPr>
        <w:t>ΚΕΦΑΛΑΙΟ 4:</w:t>
      </w:r>
    </w:p>
    <w:p w:rsidR="009502A0" w:rsidRPr="009502A0" w:rsidRDefault="009502A0" w:rsidP="009502A0">
      <w:pPr>
        <w:spacing w:line="240" w:lineRule="auto"/>
        <w:rPr>
          <w:b/>
          <w:sz w:val="24"/>
        </w:rPr>
      </w:pPr>
      <w:r w:rsidRPr="009502A0">
        <w:rPr>
          <w:sz w:val="24"/>
        </w:rPr>
        <w:t xml:space="preserve">Εισαγωγή (σελίδα 127), </w:t>
      </w: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4.1 (σελίδες 128 - 135), </w:t>
      </w: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4.2 (μόνο η τελευταία γραμμή της σελίδας 138 και οι σελίδες 139 και 140), </w:t>
      </w: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4.3 (σελίδες 141 – 146),</w:t>
      </w:r>
      <w:r w:rsidRPr="009502A0">
        <w:rPr>
          <w:b/>
          <w:sz w:val="24"/>
        </w:rPr>
        <w:t xml:space="preserve"> </w:t>
      </w:r>
      <w:r w:rsidRPr="009502A0">
        <w:rPr>
          <w:rFonts w:eastAsia="Arial Unicode MS" w:cs="Arial Unicode MS"/>
          <w:sz w:val="24"/>
        </w:rPr>
        <w:t>§</w:t>
      </w:r>
      <w:r w:rsidRPr="009502A0">
        <w:rPr>
          <w:sz w:val="24"/>
        </w:rPr>
        <w:t xml:space="preserve"> 4.4 (σελίδες 147 - 149, </w:t>
      </w:r>
      <w:r w:rsidRPr="009502A0">
        <w:rPr>
          <w:b/>
          <w:sz w:val="24"/>
        </w:rPr>
        <w:t>εκτός των ασκήσεων στις οποίες η ουσία που δίνεται ή ζητείται δεν είναι καθαρή</w:t>
      </w:r>
      <w:r w:rsidRPr="009502A0">
        <w:rPr>
          <w:sz w:val="24"/>
        </w:rPr>
        <w:t>)</w:t>
      </w:r>
    </w:p>
    <w:p w:rsidR="009502A0" w:rsidRPr="002149EF" w:rsidRDefault="009502A0" w:rsidP="009502A0">
      <w:pPr>
        <w:spacing w:line="240" w:lineRule="auto"/>
        <w:rPr>
          <w:b/>
        </w:rPr>
      </w:pPr>
      <w:r w:rsidRPr="009502A0">
        <w:rPr>
          <w:b/>
          <w:sz w:val="24"/>
        </w:rPr>
        <w:t>Εξετάζονται οι αντίστοιχες ασκήσεις από τις σελίδες 158 έως και 166</w:t>
      </w:r>
      <w:r w:rsidRPr="002149EF">
        <w:rPr>
          <w:b/>
        </w:rPr>
        <w:t>.</w:t>
      </w:r>
    </w:p>
    <w:p w:rsidR="009502A0" w:rsidRDefault="009502A0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741CE2" w:rsidRDefault="00741CE2" w:rsidP="00FE0854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Στα μαθήματα Φυσική και Χημεία στις Α΄ και Β΄ τάξεις Ημερήσιου Γενικού Λυκείου και στο μάθημα Φυσική Ομάδας Προσανατολισμού Θετικών Σπουδών της Β΄ τάξης Ημερησίου Γενικού Λυκείου η εξέταση γίνεται ως εξής: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Ι. Στους μαθητές δίνονται τέσσερα (4) θέματα από την εξεταστέα ύλη που καθορίζονται ως εξής: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α) Το πρώτο θέμα αποτελείται από πέντε (5) ερωτήσεις αντικειμενικού τύπου, με τις οποίες ελέγχεται η γνώση της θεωρίας σε όσο το δυνατόν ευρύτερη έκταση της εξεταστέας ύλης.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lastRenderedPageBreak/>
        <w:t>β) Το δεύτερο θέμα αποτελείται από δύο (2) ερωτήσεις,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μαθήματος.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τους.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γ) Το τρίτο θέμα αποτελείται από άσκηση εφαρμογής της θεωρίας, η οποία απαιτεί ικανότητα συνδυασμού και σύνθεσης εννοιών, θεωριών, τύπων, νόμων και αρχών και μπορεί να αναλύεται σε επιμέρους ερωτήματα.</w:t>
      </w:r>
    </w:p>
    <w:p w:rsidR="009229D1" w:rsidRPr="009229D1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 xml:space="preserve">δ) Το τέταρτο θέμα αποτελείται από ένα πρόβλημα ή μία άσκηση, που απαιτεί ικανότητα συνδυασμού και σύνθεσης γνώσεων, αλλά και ανάπτυξη στρατηγικής για τη διαδικασία επίλυσής του. </w:t>
      </w:r>
      <w:proofErr w:type="spellStart"/>
      <w:r w:rsidRPr="009229D1">
        <w:rPr>
          <w:rFonts w:eastAsia="Times New Roman" w:cs="Times New Roman"/>
          <w:sz w:val="24"/>
          <w:szCs w:val="24"/>
        </w:rPr>
        <w:t>Tο</w:t>
      </w:r>
      <w:proofErr w:type="spellEnd"/>
      <w:r w:rsidRPr="009229D1">
        <w:rPr>
          <w:rFonts w:eastAsia="Times New Roman" w:cs="Times New Roman"/>
          <w:sz w:val="24"/>
          <w:szCs w:val="24"/>
        </w:rPr>
        <w:t xml:space="preserve"> πρόβλημα αυτό ή η άσκηση μπορεί να αναλύονται σε επιμέρους ερωτήματα.</w:t>
      </w:r>
    </w:p>
    <w:p w:rsidR="000A6318" w:rsidRDefault="009229D1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229D1">
        <w:rPr>
          <w:rFonts w:eastAsia="Times New Roman" w:cs="Times New Roman"/>
          <w:sz w:val="24"/>
          <w:szCs w:val="24"/>
        </w:rPr>
        <w:t>ΙΙ. Η βαθμολογία κατανέμεται ανά είκοσι πέντε (25) μονάδες στο καθένα από τα τέσσερα θέματα. Ειδικότερα, στο πρώτο θέμα κάθε μία ερώτηση βαθμολογείται με 5 μονάδες και στο δεύτερο θέμα η πρώτη ερώτηση βαθμολογείται με 12 μονάδες και η δεύτερη με 13 μονάδες.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θεμάτων.</w:t>
      </w:r>
    </w:p>
    <w:p w:rsidR="000A6318" w:rsidRDefault="000A6318" w:rsidP="00FE0854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FF2697" w:rsidRDefault="00FF2697" w:rsidP="00FE0854">
      <w:pPr>
        <w:jc w:val="both"/>
        <w:rPr>
          <w:rFonts w:eastAsia="Times New Roman" w:cs="Palatino Linotype"/>
          <w:sz w:val="24"/>
          <w:szCs w:val="24"/>
        </w:rPr>
      </w:pPr>
    </w:p>
    <w:sectPr w:rsidR="00FF2697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0C" w:rsidRDefault="0008310C" w:rsidP="0075731B">
      <w:pPr>
        <w:spacing w:after="0" w:line="240" w:lineRule="auto"/>
      </w:pPr>
      <w:r>
        <w:separator/>
      </w:r>
    </w:p>
  </w:endnote>
  <w:endnote w:type="continuationSeparator" w:id="0">
    <w:p w:rsidR="0008310C" w:rsidRDefault="0008310C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9502A0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0C" w:rsidRDefault="0008310C" w:rsidP="0075731B">
      <w:pPr>
        <w:spacing w:after="0" w:line="240" w:lineRule="auto"/>
      </w:pPr>
      <w:r>
        <w:separator/>
      </w:r>
    </w:p>
  </w:footnote>
  <w:footnote w:type="continuationSeparator" w:id="0">
    <w:p w:rsidR="0008310C" w:rsidRDefault="0008310C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8310C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25C1"/>
    <w:rsid w:val="00252472"/>
    <w:rsid w:val="002603E0"/>
    <w:rsid w:val="00260C8B"/>
    <w:rsid w:val="00291BEB"/>
    <w:rsid w:val="002A60D3"/>
    <w:rsid w:val="002C58FC"/>
    <w:rsid w:val="002D1290"/>
    <w:rsid w:val="002D7803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468DE"/>
    <w:rsid w:val="00567C5B"/>
    <w:rsid w:val="00584C16"/>
    <w:rsid w:val="00591A14"/>
    <w:rsid w:val="00592B99"/>
    <w:rsid w:val="005D04DD"/>
    <w:rsid w:val="006105D6"/>
    <w:rsid w:val="00611791"/>
    <w:rsid w:val="0063352E"/>
    <w:rsid w:val="00650C3B"/>
    <w:rsid w:val="006529BB"/>
    <w:rsid w:val="006624D2"/>
    <w:rsid w:val="00686E46"/>
    <w:rsid w:val="00741CE2"/>
    <w:rsid w:val="0075731B"/>
    <w:rsid w:val="00762E95"/>
    <w:rsid w:val="007835F3"/>
    <w:rsid w:val="00793713"/>
    <w:rsid w:val="00795907"/>
    <w:rsid w:val="007C6200"/>
    <w:rsid w:val="007C6A9E"/>
    <w:rsid w:val="007D065E"/>
    <w:rsid w:val="007F41B4"/>
    <w:rsid w:val="00837EA1"/>
    <w:rsid w:val="00870E75"/>
    <w:rsid w:val="00894557"/>
    <w:rsid w:val="00895DEF"/>
    <w:rsid w:val="008E6300"/>
    <w:rsid w:val="009229D1"/>
    <w:rsid w:val="009243ED"/>
    <w:rsid w:val="009502A0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5006A"/>
    <w:rsid w:val="00B6364F"/>
    <w:rsid w:val="00B76F34"/>
    <w:rsid w:val="00B95027"/>
    <w:rsid w:val="00BD6092"/>
    <w:rsid w:val="00C0253B"/>
    <w:rsid w:val="00C14112"/>
    <w:rsid w:val="00C4674D"/>
    <w:rsid w:val="00C65E6A"/>
    <w:rsid w:val="00C73430"/>
    <w:rsid w:val="00C76650"/>
    <w:rsid w:val="00D156D2"/>
    <w:rsid w:val="00D3287F"/>
    <w:rsid w:val="00D45FEE"/>
    <w:rsid w:val="00D85E6C"/>
    <w:rsid w:val="00DD5845"/>
    <w:rsid w:val="00DE4818"/>
    <w:rsid w:val="00DE7321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2642"/>
    <w:rsid w:val="00EE0F9C"/>
    <w:rsid w:val="00EF4FC4"/>
    <w:rsid w:val="00F80DDD"/>
    <w:rsid w:val="00F953D0"/>
    <w:rsid w:val="00FC57A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65B02-4402-426D-8AEA-A46D061A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dcterms:created xsi:type="dcterms:W3CDTF">2016-04-19T06:26:00Z</dcterms:created>
  <dcterms:modified xsi:type="dcterms:W3CDTF">2016-04-19T06:26:00Z</dcterms:modified>
</cp:coreProperties>
</file>